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4C" w:rsidRPr="00C81A4C" w:rsidRDefault="00C81A4C" w:rsidP="00C81A4C">
      <w:pPr>
        <w:rPr>
          <w:rFonts w:cs="Times New Roman"/>
          <w:color w:val="000000"/>
          <w:lang w:eastAsia="pl-PL"/>
        </w:rPr>
      </w:pPr>
    </w:p>
    <w:p w:rsidR="00C81A4C" w:rsidRPr="00C81A4C" w:rsidRDefault="00C81A4C" w:rsidP="00C81A4C">
      <w:pPr>
        <w:rPr>
          <w:rFonts w:cs="Times New Roman"/>
          <w:color w:val="000000"/>
        </w:rPr>
      </w:pPr>
      <w:r w:rsidRPr="00C81A4C">
        <w:rPr>
          <w:rFonts w:cs="Times New Roman"/>
          <w:color w:val="000000"/>
        </w:rPr>
        <w:tab/>
      </w:r>
      <w:r w:rsidRPr="00C81A4C">
        <w:rPr>
          <w:rFonts w:cs="Times New Roman"/>
          <w:color w:val="000000"/>
        </w:rPr>
        <w:tab/>
      </w:r>
      <w:r w:rsidRPr="00C81A4C">
        <w:rPr>
          <w:rFonts w:cs="Times New Roman"/>
          <w:color w:val="000000"/>
        </w:rPr>
        <w:tab/>
      </w:r>
      <w:r w:rsidRPr="00C81A4C">
        <w:rPr>
          <w:rFonts w:cs="Times New Roman"/>
          <w:color w:val="000000"/>
        </w:rPr>
        <w:tab/>
        <w:t xml:space="preserve">                           </w:t>
      </w:r>
      <w:r w:rsidRPr="00C81A4C">
        <w:rPr>
          <w:rFonts w:cs="Times New Roman"/>
          <w:color w:val="000000"/>
        </w:rPr>
        <w:tab/>
        <w:t xml:space="preserve">  </w:t>
      </w:r>
      <w:r w:rsidRPr="00C81A4C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Warszawa</w:t>
      </w:r>
      <w:r w:rsidRPr="00C81A4C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974CED">
        <w:rPr>
          <w:rFonts w:cs="Times New Roman"/>
          <w:color w:val="000000"/>
        </w:rPr>
        <w:t>7 maja</w:t>
      </w:r>
      <w:bookmarkStart w:id="0" w:name="_GoBack"/>
      <w:bookmarkEnd w:id="0"/>
      <w:r>
        <w:rPr>
          <w:rFonts w:cs="Times New Roman"/>
          <w:color w:val="000000"/>
        </w:rPr>
        <w:t xml:space="preserve"> 2014 r.</w:t>
      </w:r>
      <w:r w:rsidRPr="00C81A4C">
        <w:rPr>
          <w:rFonts w:cs="Times New Roman"/>
          <w:color w:val="000000"/>
        </w:rPr>
        <w:t xml:space="preserve"> </w:t>
      </w:r>
    </w:p>
    <w:p w:rsidR="00C81A4C" w:rsidRPr="00C81A4C" w:rsidRDefault="00C81A4C" w:rsidP="00C81A4C">
      <w:pPr>
        <w:rPr>
          <w:rFonts w:cs="Times New Roman"/>
          <w:color w:val="000000"/>
        </w:rPr>
      </w:pPr>
    </w:p>
    <w:p w:rsidR="00C81A4C" w:rsidRPr="00C81A4C" w:rsidRDefault="00C81A4C" w:rsidP="00C81A4C">
      <w:pPr>
        <w:jc w:val="right"/>
        <w:rPr>
          <w:rFonts w:eastAsia="Arial" w:cs="Times New Roman"/>
          <w:color w:val="000000"/>
        </w:rPr>
      </w:pPr>
    </w:p>
    <w:p w:rsidR="00C81A4C" w:rsidRPr="00C81A4C" w:rsidRDefault="00CF3AA7" w:rsidP="00C81A4C">
      <w:pPr>
        <w:ind w:left="4065"/>
        <w:jc w:val="both"/>
        <w:rPr>
          <w:rFonts w:eastAsia="Tahoma" w:cs="Times New Roman"/>
          <w:i/>
          <w:iCs/>
          <w:color w:val="000000"/>
        </w:rPr>
      </w:pPr>
      <w:r>
        <w:rPr>
          <w:rFonts w:eastAsia="Tahoma" w:cs="Times New Roman"/>
          <w:b/>
          <w:bCs/>
          <w:color w:val="000000"/>
        </w:rPr>
        <w:t>Samorządowe Kolegium Odwoławcze w Szczecinie</w:t>
      </w:r>
    </w:p>
    <w:p w:rsidR="00C81A4C" w:rsidRPr="00C81A4C" w:rsidRDefault="00C81A4C" w:rsidP="00C81A4C">
      <w:pPr>
        <w:autoSpaceDE w:val="0"/>
        <w:spacing w:before="113" w:after="113"/>
        <w:ind w:left="2977"/>
        <w:rPr>
          <w:rFonts w:eastAsia="Tahoma" w:cs="Times New Roman"/>
          <w:b/>
          <w:bCs/>
          <w:color w:val="000000"/>
        </w:rPr>
      </w:pPr>
      <w:r w:rsidRPr="00C81A4C">
        <w:rPr>
          <w:rFonts w:eastAsia="Tahoma" w:cs="Times New Roman"/>
          <w:i/>
          <w:iCs/>
          <w:color w:val="000000"/>
        </w:rPr>
        <w:t>za pośrednictwem</w:t>
      </w:r>
    </w:p>
    <w:p w:rsidR="00C81A4C" w:rsidRPr="00C81A4C" w:rsidRDefault="00CF3AA7" w:rsidP="00C81A4C">
      <w:pPr>
        <w:autoSpaceDE w:val="0"/>
        <w:ind w:left="4065"/>
        <w:rPr>
          <w:rFonts w:eastAsia="Tahoma" w:cs="Times New Roman"/>
          <w:color w:val="000000"/>
        </w:rPr>
      </w:pPr>
      <w:r>
        <w:rPr>
          <w:rFonts w:eastAsia="Tahoma" w:cs="Times New Roman"/>
          <w:b/>
          <w:bCs/>
          <w:color w:val="000000"/>
        </w:rPr>
        <w:t>Prezydenta Szczecina</w:t>
      </w:r>
    </w:p>
    <w:p w:rsidR="00C81A4C" w:rsidRPr="00C81A4C" w:rsidRDefault="00C81A4C" w:rsidP="00C81A4C">
      <w:pPr>
        <w:autoSpaceDE w:val="0"/>
        <w:ind w:left="4065"/>
        <w:rPr>
          <w:rFonts w:eastAsia="Tahoma" w:cs="Times New Roman"/>
          <w:color w:val="000000"/>
        </w:rPr>
      </w:pPr>
    </w:p>
    <w:p w:rsidR="00C81A4C" w:rsidRPr="00C81A4C" w:rsidRDefault="00C81A4C" w:rsidP="00C81A4C">
      <w:pPr>
        <w:autoSpaceDE w:val="0"/>
        <w:ind w:left="4065"/>
        <w:rPr>
          <w:rFonts w:eastAsia="Tahoma" w:cs="Times New Roman"/>
          <w:color w:val="000000"/>
        </w:rPr>
      </w:pPr>
    </w:p>
    <w:p w:rsidR="00C81A4C" w:rsidRPr="00C81A4C" w:rsidRDefault="00C81A4C" w:rsidP="00C81A4C">
      <w:pPr>
        <w:autoSpaceDE w:val="0"/>
        <w:ind w:left="2865"/>
        <w:rPr>
          <w:rFonts w:cs="Times New Roman"/>
          <w:color w:val="000000"/>
        </w:rPr>
      </w:pPr>
      <w:r w:rsidRPr="00C81A4C">
        <w:rPr>
          <w:rFonts w:eastAsia="Tahoma" w:cs="Times New Roman"/>
          <w:b/>
          <w:bCs/>
          <w:color w:val="000000"/>
        </w:rPr>
        <w:t xml:space="preserve">Skarżący: </w:t>
      </w:r>
      <w:r w:rsidR="00CF3AA7">
        <w:rPr>
          <w:rFonts w:eastAsia="Tahoma" w:cs="Times New Roman"/>
          <w:bCs/>
          <w:color w:val="000000"/>
        </w:rPr>
        <w:t>Szymon Osowski</w:t>
      </w:r>
    </w:p>
    <w:p w:rsidR="00C81A4C" w:rsidRPr="00C81A4C" w:rsidRDefault="00C81A4C" w:rsidP="00C81A4C">
      <w:pPr>
        <w:ind w:left="4065"/>
        <w:jc w:val="both"/>
        <w:rPr>
          <w:rFonts w:cs="Times New Roman"/>
          <w:color w:val="000000"/>
        </w:rPr>
      </w:pPr>
    </w:p>
    <w:p w:rsidR="00C81A4C" w:rsidRPr="00C81A4C" w:rsidRDefault="00C81A4C" w:rsidP="00CF3AA7">
      <w:pPr>
        <w:autoSpaceDE w:val="0"/>
        <w:ind w:left="2124" w:firstLine="708"/>
        <w:rPr>
          <w:rFonts w:eastAsia="Tahoma" w:cs="Times New Roman"/>
          <w:color w:val="000000"/>
        </w:rPr>
      </w:pPr>
      <w:r>
        <w:rPr>
          <w:rFonts w:eastAsia="Tahoma" w:cs="Times New Roman"/>
          <w:b/>
          <w:bCs/>
          <w:color w:val="000000"/>
        </w:rPr>
        <w:t xml:space="preserve">Strona przeciwna: </w:t>
      </w:r>
      <w:r w:rsidR="00CF3AA7">
        <w:rPr>
          <w:rFonts w:eastAsia="Tahoma" w:cs="Times New Roman"/>
          <w:bCs/>
          <w:color w:val="000000"/>
        </w:rPr>
        <w:t>Prezydent Szczecina</w:t>
      </w:r>
    </w:p>
    <w:p w:rsidR="00C81A4C" w:rsidRPr="00C81A4C" w:rsidRDefault="00C81A4C" w:rsidP="00C81A4C">
      <w:pPr>
        <w:autoSpaceDE w:val="0"/>
        <w:ind w:left="3990"/>
        <w:rPr>
          <w:rFonts w:eastAsia="Tahoma" w:cs="Times New Roman"/>
          <w:color w:val="000000"/>
        </w:rPr>
      </w:pPr>
    </w:p>
    <w:p w:rsidR="00C81A4C" w:rsidRPr="00C81A4C" w:rsidRDefault="00C81A4C" w:rsidP="00C81A4C">
      <w:pPr>
        <w:autoSpaceDE w:val="0"/>
        <w:rPr>
          <w:rFonts w:cs="Times New Roman"/>
          <w:color w:val="000000"/>
        </w:rPr>
      </w:pPr>
    </w:p>
    <w:p w:rsidR="00C81A4C" w:rsidRPr="00C81A4C" w:rsidRDefault="00C81A4C" w:rsidP="00C81A4C">
      <w:pPr>
        <w:autoSpaceDE w:val="0"/>
        <w:rPr>
          <w:rFonts w:cs="Times New Roman"/>
          <w:color w:val="000000"/>
        </w:rPr>
      </w:pPr>
    </w:p>
    <w:p w:rsidR="00C81A4C" w:rsidRDefault="00C81A4C" w:rsidP="00CF3AA7">
      <w:pPr>
        <w:autoSpaceDE w:val="0"/>
        <w:jc w:val="center"/>
        <w:rPr>
          <w:rFonts w:eastAsia="Tahoma" w:cs="Times New Roman"/>
          <w:b/>
          <w:bCs/>
          <w:color w:val="000000"/>
        </w:rPr>
      </w:pPr>
      <w:r>
        <w:rPr>
          <w:rFonts w:eastAsia="Tahoma" w:cs="Times New Roman"/>
          <w:b/>
          <w:bCs/>
          <w:color w:val="000000"/>
        </w:rPr>
        <w:t xml:space="preserve">Odwołanie od decyzji Nr </w:t>
      </w:r>
      <w:r w:rsidR="00974CED">
        <w:rPr>
          <w:rFonts w:eastAsia="Tahoma" w:cs="Times New Roman"/>
          <w:b/>
          <w:bCs/>
          <w:color w:val="000000"/>
        </w:rPr>
        <w:t>WO-I.1431.12</w:t>
      </w:r>
      <w:r w:rsidR="00CF3AA7" w:rsidRPr="00CF3AA7">
        <w:rPr>
          <w:rFonts w:eastAsia="Tahoma" w:cs="Times New Roman"/>
          <w:b/>
          <w:bCs/>
          <w:color w:val="000000"/>
        </w:rPr>
        <w:t>.2014.AK</w:t>
      </w:r>
    </w:p>
    <w:p w:rsidR="00C81A4C" w:rsidRPr="00C81A4C" w:rsidRDefault="00C81A4C" w:rsidP="00C81A4C">
      <w:pPr>
        <w:autoSpaceDE w:val="0"/>
        <w:jc w:val="center"/>
        <w:rPr>
          <w:rFonts w:eastAsia="Tahoma" w:cs="Times New Roman"/>
          <w:b/>
          <w:bCs/>
          <w:color w:val="000000"/>
        </w:rPr>
      </w:pPr>
      <w:r>
        <w:rPr>
          <w:rFonts w:eastAsia="Tahoma" w:cs="Times New Roman"/>
          <w:b/>
          <w:bCs/>
          <w:color w:val="000000"/>
        </w:rPr>
        <w:t xml:space="preserve">z </w:t>
      </w:r>
      <w:r w:rsidR="00CF3AA7">
        <w:rPr>
          <w:rFonts w:eastAsia="Tahoma" w:cs="Times New Roman"/>
          <w:b/>
          <w:bCs/>
          <w:color w:val="000000"/>
        </w:rPr>
        <w:t>18</w:t>
      </w:r>
      <w:r>
        <w:rPr>
          <w:rFonts w:eastAsia="Tahoma" w:cs="Times New Roman"/>
          <w:b/>
          <w:bCs/>
          <w:color w:val="000000"/>
        </w:rPr>
        <w:t xml:space="preserve"> kwietnia 2014</w:t>
      </w:r>
    </w:p>
    <w:p w:rsidR="00C81A4C" w:rsidRDefault="00C81A4C" w:rsidP="00C81A4C">
      <w:pPr>
        <w:autoSpaceDE w:val="0"/>
        <w:jc w:val="center"/>
        <w:rPr>
          <w:rFonts w:eastAsia="Tahoma" w:cs="Times New Roman"/>
          <w:b/>
          <w:bCs/>
          <w:color w:val="000000"/>
        </w:rPr>
      </w:pPr>
      <w:r>
        <w:rPr>
          <w:rFonts w:eastAsia="Tahoma" w:cs="Times New Roman"/>
          <w:b/>
          <w:bCs/>
          <w:color w:val="000000"/>
        </w:rPr>
        <w:t>w przedmiocie odmowy udostępnienia informacji publicznej</w:t>
      </w:r>
    </w:p>
    <w:p w:rsidR="00C81A4C" w:rsidRPr="00C81A4C" w:rsidRDefault="00C81A4C" w:rsidP="00C81A4C">
      <w:pPr>
        <w:autoSpaceDE w:val="0"/>
        <w:jc w:val="center"/>
        <w:rPr>
          <w:rFonts w:eastAsia="Tahoma" w:cs="Times New Roman"/>
          <w:b/>
          <w:bCs/>
          <w:color w:val="000000"/>
        </w:rPr>
      </w:pPr>
    </w:p>
    <w:p w:rsidR="00C81A4C" w:rsidRDefault="00C81A4C" w:rsidP="00CF3AA7">
      <w:pPr>
        <w:autoSpaceDE w:val="0"/>
        <w:spacing w:after="113" w:line="360" w:lineRule="auto"/>
        <w:ind w:firstLine="540"/>
        <w:jc w:val="both"/>
        <w:rPr>
          <w:rFonts w:eastAsia="Tahoma" w:cs="Times New Roman"/>
          <w:color w:val="000000"/>
        </w:rPr>
      </w:pPr>
      <w:r>
        <w:rPr>
          <w:rFonts w:eastAsia="Tahoma" w:cs="Times New Roman"/>
          <w:color w:val="000000"/>
        </w:rPr>
        <w:t xml:space="preserve">W imieniu </w:t>
      </w:r>
      <w:r w:rsidR="00CF3AA7">
        <w:rPr>
          <w:rFonts w:eastAsia="Tahoma" w:cs="Times New Roman"/>
          <w:color w:val="000000"/>
        </w:rPr>
        <w:t>własnym</w:t>
      </w:r>
      <w:r>
        <w:rPr>
          <w:rFonts w:eastAsia="Tahoma" w:cs="Times New Roman"/>
          <w:color w:val="000000"/>
        </w:rPr>
        <w:t xml:space="preserve"> wnos</w:t>
      </w:r>
      <w:r w:rsidR="00CF3AA7">
        <w:rPr>
          <w:rFonts w:eastAsia="Tahoma" w:cs="Times New Roman"/>
          <w:color w:val="000000"/>
        </w:rPr>
        <w:t>zę</w:t>
      </w:r>
      <w:r>
        <w:rPr>
          <w:rFonts w:eastAsia="Tahoma" w:cs="Times New Roman"/>
          <w:color w:val="000000"/>
        </w:rPr>
        <w:t xml:space="preserve"> odwołanie od decyzji </w:t>
      </w:r>
      <w:r w:rsidR="00CF3AA7">
        <w:rPr>
          <w:rFonts w:eastAsia="Tahoma" w:cs="Times New Roman"/>
          <w:color w:val="000000"/>
        </w:rPr>
        <w:t xml:space="preserve">Prezydenta Szczecina z 18 kwietnia 2014 r., znak </w:t>
      </w:r>
      <w:r>
        <w:rPr>
          <w:rFonts w:eastAsia="Tahoma" w:cs="Times New Roman"/>
          <w:color w:val="000000"/>
        </w:rPr>
        <w:t xml:space="preserve"> </w:t>
      </w:r>
      <w:r w:rsidR="00974CED">
        <w:rPr>
          <w:rFonts w:eastAsia="Tahoma" w:cs="Times New Roman"/>
          <w:color w:val="000000"/>
        </w:rPr>
        <w:t>WO-I.1431.12</w:t>
      </w:r>
      <w:r w:rsidR="00CF3AA7" w:rsidRPr="00CF3AA7">
        <w:rPr>
          <w:rFonts w:eastAsia="Tahoma" w:cs="Times New Roman"/>
          <w:color w:val="000000"/>
        </w:rPr>
        <w:t>.2014.AK</w:t>
      </w:r>
      <w:r w:rsidR="00CF3AA7">
        <w:rPr>
          <w:rFonts w:eastAsia="Tahoma" w:cs="Times New Roman"/>
          <w:color w:val="000000"/>
        </w:rPr>
        <w:t xml:space="preserve"> </w:t>
      </w:r>
      <w:r>
        <w:rPr>
          <w:rFonts w:eastAsia="Tahoma" w:cs="Times New Roman"/>
          <w:color w:val="000000"/>
        </w:rPr>
        <w:t>i zarzucamy naruszenie następujących przepisów:</w:t>
      </w:r>
    </w:p>
    <w:p w:rsidR="00C81A4C" w:rsidRPr="00C81A4C" w:rsidRDefault="00C81A4C" w:rsidP="00C81A4C">
      <w:pPr>
        <w:tabs>
          <w:tab w:val="left" w:pos="1129"/>
          <w:tab w:val="left" w:pos="3690"/>
        </w:tabs>
        <w:autoSpaceDE w:val="0"/>
        <w:spacing w:after="113" w:line="276" w:lineRule="auto"/>
        <w:ind w:left="750"/>
        <w:jc w:val="both"/>
        <w:rPr>
          <w:rStyle w:val="Pogrubienie"/>
          <w:rFonts w:eastAsia="Garamond" w:cs="Times New Roman"/>
          <w:color w:val="000000"/>
        </w:rPr>
      </w:pPr>
    </w:p>
    <w:p w:rsidR="00C81A4C" w:rsidRPr="00B90A8E" w:rsidRDefault="00C81A4C" w:rsidP="00C81A4C">
      <w:pPr>
        <w:spacing w:line="360" w:lineRule="auto"/>
        <w:jc w:val="both"/>
        <w:rPr>
          <w:rFonts w:eastAsia="Times New Roman"/>
        </w:rPr>
      </w:pPr>
      <w:r w:rsidRPr="00B90A8E">
        <w:t xml:space="preserve">- naruszenie </w:t>
      </w:r>
      <w:r w:rsidRPr="00B90A8E">
        <w:rPr>
          <w:b/>
        </w:rPr>
        <w:t>art. 61 ust. 1 i 2 Konstytucji RP w zw. z art. 10 Konwencji o ochronie praw człowieka i podstawowych wolności</w:t>
      </w:r>
      <w:r w:rsidRPr="00B90A8E">
        <w:t xml:space="preserve">, poprzez rozstrzygnięcie wątpliwości w ramach toczącego się postępowania w ten sposób, iż zastosowana wykładania art. 5 ust. 2 </w:t>
      </w:r>
      <w:r w:rsidRPr="00B90A8E">
        <w:rPr>
          <w:rFonts w:eastAsia="Times New Roman"/>
        </w:rPr>
        <w:t xml:space="preserve"> ustawy z dnia 6 września 2001 r. o dostępie do informacji publicznej prowadzi do wyłączenia jawności w zakresie wnioskowanym przez Stowarzyszenie,</w:t>
      </w:r>
    </w:p>
    <w:p w:rsidR="00C81A4C" w:rsidRPr="00B90A8E" w:rsidRDefault="00C81A4C" w:rsidP="00C81A4C">
      <w:pPr>
        <w:spacing w:line="360" w:lineRule="auto"/>
        <w:jc w:val="both"/>
      </w:pPr>
      <w:r w:rsidRPr="00B90A8E">
        <w:rPr>
          <w:rFonts w:eastAsia="Times New Roman"/>
        </w:rPr>
        <w:t xml:space="preserve">- </w:t>
      </w:r>
      <w:r w:rsidRPr="00B90A8E">
        <w:rPr>
          <w:b/>
        </w:rPr>
        <w:t>art. 61 ust. 1 i 2 Konstytucji  w zw. z art. 31 ust. 3 Konstytucji RP w zw. z art. 8 Kodeksu postępowania administracyjnego</w:t>
      </w:r>
      <w:r w:rsidRPr="00B90A8E">
        <w:t xml:space="preserve"> poprzez prowadzenie postępowanie w ten sposób, iż wszystkie wątpliwości zostały rozstrzygnięte na korzyść wyłączenia prawa do informacji publicznej, co prowadzi do naruszenia</w:t>
      </w:r>
      <w:r>
        <w:t xml:space="preserve"> jego</w:t>
      </w:r>
      <w:r w:rsidRPr="00B90A8E">
        <w:t xml:space="preserve"> istoty,</w:t>
      </w:r>
    </w:p>
    <w:p w:rsidR="00CF3AA7" w:rsidRPr="00B90A8E" w:rsidRDefault="00C81A4C" w:rsidP="00C81A4C">
      <w:pPr>
        <w:spacing w:line="360" w:lineRule="auto"/>
        <w:jc w:val="both"/>
      </w:pPr>
      <w:r w:rsidRPr="00B90A8E">
        <w:rPr>
          <w:rFonts w:eastAsia="Times New Roman"/>
        </w:rPr>
        <w:t xml:space="preserve">- </w:t>
      </w:r>
      <w:r w:rsidRPr="00B90A8E">
        <w:t xml:space="preserve">naruszenie </w:t>
      </w:r>
      <w:r w:rsidRPr="00B90A8E">
        <w:rPr>
          <w:b/>
        </w:rPr>
        <w:t>art. 33 ust. 1 ustawy o finansach publicznych</w:t>
      </w:r>
      <w:r w:rsidRPr="00B90A8E">
        <w:t xml:space="preserve"> w zw. z </w:t>
      </w:r>
      <w:r w:rsidRPr="00B90A8E">
        <w:rPr>
          <w:b/>
        </w:rPr>
        <w:t>art. 61 ust. 1 i 2 Konstytucji RP</w:t>
      </w:r>
      <w:r w:rsidRPr="00B90A8E">
        <w:t xml:space="preserve"> poprzez przyjęcie, iż </w:t>
      </w:r>
      <w:r>
        <w:t xml:space="preserve">wydatki ponoszone w związku ze zlecaniem usług przez podmiot dysponujący środkami publicznymi mogą </w:t>
      </w:r>
      <w:r w:rsidRPr="00B90A8E">
        <w:t>podlegać wyłączeniu z jawności</w:t>
      </w:r>
      <w:r>
        <w:t xml:space="preserve"> w zakresie stron</w:t>
      </w:r>
      <w:r w:rsidR="00CF3AA7">
        <w:t>y  umo</w:t>
      </w:r>
      <w:r>
        <w:t>w</w:t>
      </w:r>
      <w:r w:rsidR="00CF3AA7">
        <w:t>y.</w:t>
      </w:r>
    </w:p>
    <w:p w:rsidR="00C81A4C" w:rsidRDefault="00C81A4C" w:rsidP="00C81A4C">
      <w:pPr>
        <w:pStyle w:val="Default"/>
        <w:widowControl/>
        <w:spacing w:after="113" w:line="276" w:lineRule="auto"/>
        <w:jc w:val="both"/>
      </w:pPr>
    </w:p>
    <w:p w:rsidR="00E966E8" w:rsidRDefault="00E966E8" w:rsidP="00C81A4C">
      <w:pPr>
        <w:pStyle w:val="Default"/>
        <w:widowControl/>
        <w:spacing w:after="113" w:line="276" w:lineRule="auto"/>
        <w:jc w:val="both"/>
      </w:pPr>
    </w:p>
    <w:p w:rsidR="00CF3AA7" w:rsidRDefault="00CF3AA7" w:rsidP="00C81A4C">
      <w:pPr>
        <w:pStyle w:val="Default"/>
        <w:widowControl/>
        <w:spacing w:after="113" w:line="276" w:lineRule="auto"/>
        <w:jc w:val="both"/>
      </w:pPr>
    </w:p>
    <w:p w:rsidR="00CF3AA7" w:rsidRDefault="00CF3AA7" w:rsidP="00C81A4C">
      <w:pPr>
        <w:pStyle w:val="Default"/>
        <w:widowControl/>
        <w:spacing w:after="113" w:line="276" w:lineRule="auto"/>
        <w:jc w:val="both"/>
      </w:pPr>
    </w:p>
    <w:p w:rsidR="00C81A4C" w:rsidRPr="00B90A8E" w:rsidRDefault="00CF3AA7" w:rsidP="00C81A4C">
      <w:pPr>
        <w:pStyle w:val="Bezodstpw"/>
        <w:spacing w:line="360" w:lineRule="auto"/>
        <w:jc w:val="both"/>
        <w:rPr>
          <w:rFonts w:ascii="Times New Roman" w:hAnsi="Times New Roman"/>
          <w:b/>
          <w:spacing w:val="9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Jednocześnie wnoszę</w:t>
      </w:r>
      <w:r w:rsidR="00C81A4C" w:rsidRPr="00B90A8E">
        <w:rPr>
          <w:rFonts w:ascii="Times New Roman" w:hAnsi="Times New Roman"/>
          <w:b/>
          <w:sz w:val="24"/>
          <w:szCs w:val="24"/>
        </w:rPr>
        <w:t xml:space="preserve"> o:</w:t>
      </w:r>
    </w:p>
    <w:p w:rsidR="00C81A4C" w:rsidRPr="00B90A8E" w:rsidRDefault="00C81A4C" w:rsidP="00C81A4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17BF" w:rsidRPr="008117BF" w:rsidRDefault="008117BF" w:rsidP="008117BF">
      <w:pPr>
        <w:pStyle w:val="Bezodstpw"/>
        <w:widowControl w:val="0"/>
        <w:numPr>
          <w:ilvl w:val="0"/>
          <w:numId w:val="5"/>
        </w:numPr>
        <w:suppressAutoHyphens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uchylenie decyzji i przekazanie sprawy do ponownego rozpoznania.</w:t>
      </w:r>
    </w:p>
    <w:p w:rsidR="00C81A4C" w:rsidRPr="00B90A8E" w:rsidRDefault="008117BF" w:rsidP="008117BF">
      <w:pPr>
        <w:pStyle w:val="Bezodstpw"/>
        <w:widowControl w:val="0"/>
        <w:suppressAutoHyphens/>
        <w:spacing w:line="360" w:lineRule="auto"/>
        <w:ind w:left="720"/>
        <w:jc w:val="both"/>
      </w:pPr>
      <w:r w:rsidRPr="00B90A8E">
        <w:t xml:space="preserve"> </w:t>
      </w:r>
    </w:p>
    <w:p w:rsidR="00C81A4C" w:rsidRPr="00B90A8E" w:rsidRDefault="00C81A4C" w:rsidP="00C81A4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90A8E">
        <w:rPr>
          <w:b/>
          <w:bCs/>
        </w:rPr>
        <w:t>Uzasadnienie</w:t>
      </w:r>
    </w:p>
    <w:p w:rsidR="00CF3AA7" w:rsidRDefault="00C81A4C" w:rsidP="00CF3AA7">
      <w:pPr>
        <w:autoSpaceDE w:val="0"/>
        <w:autoSpaceDN w:val="0"/>
        <w:adjustRightInd w:val="0"/>
        <w:spacing w:line="360" w:lineRule="auto"/>
        <w:jc w:val="both"/>
      </w:pPr>
      <w:r w:rsidRPr="00B90A8E">
        <w:rPr>
          <w:b/>
        </w:rPr>
        <w:tab/>
      </w:r>
      <w:r w:rsidRPr="00B90A8E">
        <w:t xml:space="preserve">Stan faktyczny sprawy został opisany w </w:t>
      </w:r>
      <w:r>
        <w:t>wydanej decyzji</w:t>
      </w:r>
      <w:r w:rsidRPr="00B90A8E">
        <w:t xml:space="preserve">. </w:t>
      </w:r>
      <w:r w:rsidRPr="00B90A8E">
        <w:rPr>
          <w:b/>
        </w:rPr>
        <w:t xml:space="preserve">Uważam, iż </w:t>
      </w:r>
      <w:r>
        <w:rPr>
          <w:b/>
        </w:rPr>
        <w:t>strona przeciwna prowadziła</w:t>
      </w:r>
      <w:r w:rsidRPr="00B90A8E">
        <w:rPr>
          <w:b/>
        </w:rPr>
        <w:t xml:space="preserve"> postępowanie w ten sposób, aby wyjaśnić wszystkie okoliczności na rzecz wyłączenia jawności w sprawie. </w:t>
      </w:r>
      <w:r w:rsidRPr="00B90A8E">
        <w:t>Argumentacja</w:t>
      </w:r>
      <w:r>
        <w:t>,</w:t>
      </w:r>
      <w:r w:rsidRPr="00B90A8E">
        <w:t xml:space="preserve"> dobór orzecznictwa - naszym zdaniem miała potwierdzić tezę o obowiązku ograniczenia jawności w tym względzie. </w:t>
      </w:r>
      <w:r>
        <w:t xml:space="preserve">Zwrócić należy uwagę, iż cytowany na stronie trzeciej wyrok WSA w Poznaniu </w:t>
      </w:r>
      <w:r w:rsidR="001A5467">
        <w:t>z 7 marca 2013 r., sygn. akt II SA/Po 47/13 nie ma związku z przedmiotem naszego wniosku i w zasadzie nie jest jasne po co jest cytowany.</w:t>
      </w:r>
      <w:r w:rsidR="00CF3AA7">
        <w:t xml:space="preserve"> Również nawet zbliżony do stanu faktycznego nie jest wyrok WSA w Gorzowie z 22 marca 2012 r., a cytowanie go jako przykładu uzasadniającego odmowę w zasadzie pozbawione jest logiki. </w:t>
      </w:r>
    </w:p>
    <w:p w:rsidR="001A5467" w:rsidRDefault="00CF3AA7" w:rsidP="00CF3AA7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Przeprowadzone rozumowanie może wskazywać, iż Prezydent Szczecina uznaje pierwszeństwo prawa do prywatności nad prawem do informacji. Jednakże rozumowanie to nie jest prawidłowe. U</w:t>
      </w:r>
      <w:r w:rsidR="001A5467">
        <w:t xml:space="preserve">stawodawca nie dał pierwszeństwa żadnemu z tych praw. Prawo do informacji publicznej i prawo do prywatności to prawa człowieka, które pozostają w pewnym napięciu, a nie hierarchii. Możliwe, że strona przeciwna chciałaby, aby prawo do prywatności miało pierwszeństwo przed zasadami jawności, jednakże nie w demokratycznym państwie prawa. W tym względzie warto stronie przeciwnej przypomnieć, iż </w:t>
      </w:r>
      <w:r w:rsidR="00C81A4C" w:rsidRPr="00B90A8E">
        <w:rPr>
          <w:b/>
        </w:rPr>
        <w:t>Europejski Trybunał Praw Człowieka wyraźnie wskazał gruncie art. 10 Europejskiej Konwencji Praw Człowieka w sprawach: TASZ przeciwko Węgrom, nr wniosku 37374/05, wyrok z 14 kwietnia 2009 r. i Młodzieżowa Inicjatywa na Rzecz Praw Człowieka przeciwko Serbii, nr wniosku 48135/06, wyrok z 25 czerwca 2013 r., że prawo do informacji publicznej jest prawem człowieka</w:t>
      </w:r>
      <w:r w:rsidR="00C81A4C" w:rsidRPr="00B90A8E">
        <w:t xml:space="preserve">. We wspólnej i zbieżnej opinii do wyroku w sprawie Młodzieżowa Inicjatywa na Rzecz Praw Człowieka przeciwko Serbii, nr wniosku 48135/06 sędziowie Sajó i Vučinić podkreślili: </w:t>
      </w:r>
      <w:r w:rsidR="00C81A4C" w:rsidRPr="00B90A8E">
        <w:rPr>
          <w:i/>
        </w:rPr>
        <w:t xml:space="preserve">Jesteśmy w pełni zgodni co do wniosków i rozumowania niniejszego orzeczenia. Jest ono szczególnie ważne dla tych krajów, gdzie nawet w dzisiejszych czasach utrwalone zwyczaje utrudniają dostęp do danych, które w czasach totalitaryzmu były wykorzystywane dla celów opresyjnych przez tajne służby. Jednakże napisaliśmy tę zbieżną opinię, w szczególności aby podkreślić ogólną potrzebę interpretacji art. 10 w zgodności z rozwiązaniami w prawie międzynarodowym dotyczącymi swobody informacji, która obejmuje dostęp do informacji gromadzonych przez organy publiczne. Nawiązujemy tu w szczególności </w:t>
      </w:r>
      <w:r w:rsidR="00C81A4C" w:rsidRPr="00B90A8E">
        <w:rPr>
          <w:i/>
        </w:rPr>
        <w:lastRenderedPageBreak/>
        <w:t xml:space="preserve">do Komentarza Ogólnego Nr 34 Komitetu Praw Człowieka (dokument CCPR/C/GC/34 z 12 września 2011, § 18). Trybunał niedawno stwierdził ponownie (w orzeczeniu w sprawie Gillberg v. Sweden [GC] (nr 41723/06, § 74, 3 kwietnia 2012), że “prawo do otrzymywania i przekazywania informacji w sposób oczywisty stanowi część prawa do wolności wyrażania opinii, zgodnie z art. 10. To prawo zasadniczo zakazuje Rządowi ograniczania dostępu do informacji, które inni chcą lub mogą być skłonni udostępnić (zob. np. </w:t>
      </w:r>
      <w:r w:rsidR="00C81A4C" w:rsidRPr="00B90A8E">
        <w:rPr>
          <w:i/>
          <w:lang w:val="en-US"/>
        </w:rPr>
        <w:t>Leander v. Sweden, 26 marca 1987, § 74, Seria A nr 116, oraz Gaskin v. the United Kingdom, 7 lipca 1989, § 52, Seria A nr 160).”</w:t>
      </w:r>
      <w:r w:rsidR="00C81A4C" w:rsidRPr="00B90A8E">
        <w:rPr>
          <w:lang w:val="en-US"/>
        </w:rPr>
        <w:t xml:space="preserve">. </w:t>
      </w:r>
    </w:p>
    <w:p w:rsidR="00C81A4C" w:rsidRPr="00B90A8E" w:rsidRDefault="00C81A4C" w:rsidP="001A5467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lang w:val="en-US"/>
        </w:rPr>
      </w:pPr>
      <w:r w:rsidRPr="00B90A8E">
        <w:t>Podejście prezentowana przez Europejski Trybunał Praw Człowieka do prawa do informacji publicznej podzielane je</w:t>
      </w:r>
      <w:r w:rsidR="001A5467">
        <w:t>st przez Trybunał Konstytucyjny.</w:t>
      </w:r>
      <w:r w:rsidRPr="00B90A8E">
        <w:t xml:space="preserve"> </w:t>
      </w:r>
      <w:r w:rsidRPr="00B90A8E">
        <w:rPr>
          <w:iCs/>
        </w:rPr>
        <w:t xml:space="preserve">W wyroku z dnia 15 października 2009 r., sygn. akt K 26/08 TK wskazał m. in.: </w:t>
      </w:r>
      <w:r w:rsidRPr="00B90A8E">
        <w:rPr>
          <w:i/>
          <w:iCs/>
        </w:rPr>
        <w:t xml:space="preserve">Powszechny i szeroki dostęp do informacji publicznej stanowi niezbędną przesłankę istnienia społeczeństwa obywatelskiego, a co za tym idzie – urzeczywistnienia demokratycznych zasad funkcjonowania władzy publicznej w polskim państwie prawnym. Dostęp do informacji publicznej jest bowiem, z jednej strony, warunkiem świadomego uczestnictwa obywateli w podejmowaniu rozstrzygnięć władczych (zob. P. Winczorek, Komentarz do Konstytucji RP z dnia 2 kwietnia 1997 r., Warszawa 2000, s. 83), a z drugiej, umożliwia efektywną kontrolę obywatelską działań podejmowanych przez organy władzy publicznej (zob. W. Skrzydło, Konstytucja Rzeczypospolitej Polskiej. Komentarz, Kraków 1998, s. 58; I. Lipowicz, (w:) Konstytucje Rzeczypospolitej oraz komentarz do Konstytucji RP z 1997 roku, pod red. J. Bocia, Wrocław 1998, s. 114). Stąd wielkie znaczenie powszechności dostępu do informacji publicznej. W demokratycznym społeczeństwie podstawowym prawem jest wiedzieć i być informowanym o tym, co i dlaczego czynią władze publiczne (zob. </w:t>
      </w:r>
      <w:r w:rsidRPr="00B90A8E">
        <w:rPr>
          <w:i/>
          <w:iCs/>
          <w:lang w:val="en-US"/>
        </w:rPr>
        <w:t xml:space="preserve">J. E. Stiglitz, On Liberty, the Right to Know, and Public Discourse: The Role of Transparency in Public Life, (w:) Globalizing Right. The Oxford Amnesty Lectures, pod red. U. J. Gibneya, Oxford-New York 2003, s. 115 i n.). </w:t>
      </w:r>
    </w:p>
    <w:p w:rsidR="00C81A4C" w:rsidRPr="00B90A8E" w:rsidRDefault="00C81A4C" w:rsidP="00C81A4C">
      <w:pPr>
        <w:pStyle w:val="Default"/>
        <w:spacing w:after="113" w:line="360" w:lineRule="auto"/>
        <w:ind w:firstLine="540"/>
        <w:jc w:val="both"/>
        <w:rPr>
          <w:color w:val="auto"/>
        </w:rPr>
      </w:pPr>
      <w:r w:rsidRPr="00B90A8E">
        <w:rPr>
          <w:iCs/>
          <w:color w:val="auto"/>
        </w:rPr>
        <w:t xml:space="preserve">Wskazać trzeba dodatkowo, iż przepisy ustawy o finansach publicznych przesądzają w zasadzie o jawności gospodarki finansowej w sferze publicznej. Jawność finansów publicznych ma szczególny charakter i należy spojrzeć na niego przez pryzmat kontroli społecznej nad działaniem administracji. </w:t>
      </w:r>
      <w:r w:rsidRPr="00B90A8E">
        <w:rPr>
          <w:i/>
          <w:iCs/>
          <w:color w:val="auto"/>
        </w:rPr>
        <w:t xml:space="preserve">W doktrynie przyjmuje się, że jawność finansów publicznych oznacza swobodny dostęp obywatela do informacji o działalności państwa w wymiarze finansowym (W. Misiąg, A. Niedzielski, Jawność i przejrzystość finansów publicznych w Polsce świetle standardów Międzynarodowego Funduszu Walutowego, Raport Instytutu Badań nad Gospodarką Rynkową 2001, Nr 29, s. 5; zob. C. Kosikowski, Nowa ustawa o finansach publicznych. Komentarz, Warszawa 2010, s. 155), a także szerzej jako sytuację, w której </w:t>
      </w:r>
      <w:r w:rsidRPr="00B90A8E">
        <w:rPr>
          <w:i/>
          <w:iCs/>
          <w:color w:val="auto"/>
        </w:rPr>
        <w:lastRenderedPageBreak/>
        <w:t xml:space="preserve">informacje dotyczące funkcjonowania całego sektora finansów publicznych są publicznie dostępne i podlegają publicznej ocenie (…) Rozumienie więc jawności w kontekście budżetu rozszerzono na cały sektor finansów publicznych w odniesieniu do gospodarowania środkami publicznymi. </w:t>
      </w:r>
      <w:r w:rsidRPr="00B90A8E">
        <w:rPr>
          <w:bCs/>
          <w:i/>
          <w:iCs/>
          <w:color w:val="auto"/>
        </w:rPr>
        <w:t>Co więcej postulatywna zasada jawności uzyskała status normatywnej, a więc prawnie wiążącej</w:t>
      </w:r>
      <w:r w:rsidRPr="00B90A8E">
        <w:rPr>
          <w:i/>
          <w:iCs/>
          <w:color w:val="auto"/>
        </w:rPr>
        <w:t xml:space="preserve">. Aktualna FinPublU z 2009 r. recypuje w zasadzie (z niewielkimi zmianami) rozwiązania poprzednich ustaw o finansach publicznych. </w:t>
      </w:r>
      <w:r w:rsidRPr="00B90A8E">
        <w:rPr>
          <w:color w:val="auto"/>
        </w:rPr>
        <w:t>(Ustawa o finansach publicznych. Komentarz red. prof. dr hab. Paweł Smoleń, Rok wydania: 2012, Wydawnictwo: C.H. Beck, Wydanie: 1 poprawione – komentarz do art. 33).</w:t>
      </w:r>
    </w:p>
    <w:p w:rsidR="00C81A4C" w:rsidRPr="00B90A8E" w:rsidRDefault="00C81A4C" w:rsidP="00C81A4C">
      <w:pPr>
        <w:pStyle w:val="Default"/>
        <w:spacing w:after="113" w:line="360" w:lineRule="auto"/>
        <w:ind w:firstLine="540"/>
        <w:jc w:val="both"/>
        <w:rPr>
          <w:color w:val="auto"/>
        </w:rPr>
      </w:pPr>
      <w:r w:rsidRPr="00B90A8E">
        <w:rPr>
          <w:color w:val="auto"/>
        </w:rPr>
        <w:t xml:space="preserve">Jawność w sferze finansów publicznych ma szczególny charakter na co zwraca uwagę m. in. Cezary Kosikowski, „Prawne aspekty zasady jawności i przejrzystości finansów publicznych” (referat): </w:t>
      </w:r>
      <w:r w:rsidRPr="00B90A8E">
        <w:rPr>
          <w:i/>
          <w:iCs/>
          <w:color w:val="auto"/>
        </w:rPr>
        <w:t xml:space="preserve">Środki publiczne w większości pochodzą od obywateli. Państwo powinno więc ujawnić, jaki jest udział obywateli w tworzeniu dochodów publicznych, a także i to, na finansowanie jakich wydatków dochody te są wystarczające. Dla obywateli, a zwłaszcza dla ich postawy w zakresie ponoszenia ciężarów publicznych, nie jest obojętnym to, w jaki sposób jest rozłożony ciężar danin publicznych oraz w jaki sposób państwo gospodaruje wpływami z tego tytułu. Obywatele chcą także wiedzieć, ile kosztuje ich utrzymanie państwa i jego aparatu oraz to, w jaki sposób są dzielone wydatki publiczne dotyczące także celów (konsumpcja zbiorowa i indywidualna). Społeczeństwo pragnie również wiedzieć, czy aparat władzy publicznej potrafi planować, organizować, zarządzać i kontrolować gospodarowanie środkami publicznymi. </w:t>
      </w:r>
      <w:r w:rsidRPr="00B90A8E">
        <w:rPr>
          <w:bCs/>
          <w:i/>
          <w:iCs/>
          <w:color w:val="auto"/>
        </w:rPr>
        <w:t>Jawność i przejrzystość finansów publicznych staje się zatem narzędziem oceny systemu sprawowania władzy publicznej</w:t>
      </w:r>
      <w:r w:rsidRPr="00B90A8E">
        <w:rPr>
          <w:i/>
          <w:iCs/>
          <w:color w:val="auto"/>
        </w:rPr>
        <w:t xml:space="preserve">. Ocena ta jest zaś potrzebna, ponieważ to społeczeństwo dokonuje bezpośredniego lub pośredniego wyboru władzy publicznej. Jawność i przejrzystość finansów publicznych ma także </w:t>
      </w:r>
      <w:r w:rsidRPr="00B90A8E">
        <w:rPr>
          <w:bCs/>
          <w:i/>
          <w:iCs/>
          <w:color w:val="auto"/>
        </w:rPr>
        <w:t>znaczenie wychowawcze</w:t>
      </w:r>
      <w:r w:rsidRPr="00B90A8E">
        <w:rPr>
          <w:i/>
          <w:iCs/>
          <w:color w:val="auto"/>
        </w:rPr>
        <w:t xml:space="preserve">. Władzy publicznej nakazuje postępowanie uczciwe i profesjonalne oraz zgodne z interesem społecznym. Natomiast społeczeństwu pozwala na zwiększenie zainteresowania życiem publicznym i uczestniczeniem w nim. </w:t>
      </w:r>
    </w:p>
    <w:p w:rsidR="00C81A4C" w:rsidRPr="00B90A8E" w:rsidRDefault="00C81A4C" w:rsidP="00C81A4C">
      <w:pPr>
        <w:pStyle w:val="Default"/>
        <w:spacing w:after="113" w:line="360" w:lineRule="auto"/>
        <w:ind w:firstLine="540"/>
        <w:jc w:val="both"/>
        <w:rPr>
          <w:i/>
        </w:rPr>
      </w:pPr>
      <w:r w:rsidRPr="00B90A8E">
        <w:rPr>
          <w:color w:val="auto"/>
        </w:rPr>
        <w:t xml:space="preserve">Wbrew twierdzeniom poczynionym naszym zdaniem przez organ to właśnie jawność ma pierwszeństwo przed tajnością. </w:t>
      </w:r>
      <w:r w:rsidRPr="00B90A8E">
        <w:t xml:space="preserve">Warto w tym zakresie powołać tezę zawartą w wyroku NSA z 21 lipca 2011 r., sygn. akt I OSK 678/11 w uzasadnieniu, którego NSA interpretując prawo do informacji, stanął na stanowisku, że  </w:t>
      </w:r>
      <w:r w:rsidRPr="00B90A8E">
        <w:rPr>
          <w:i/>
        </w:rPr>
        <w:t xml:space="preserve">jeżeli stanowi ono prawo konstytucyjne, to ustawy określające tryb dostępu do informacji powinny być interpretowane w taki sposób, aby zagwarantować obywatelom szerokie uprawnienia w tym zakresie, a </w:t>
      </w:r>
      <w:r w:rsidRPr="00B90A8E">
        <w:rPr>
          <w:b/>
          <w:i/>
        </w:rPr>
        <w:t>wszelkie wyjątki powinny być rozumiane wąsko</w:t>
      </w:r>
      <w:r w:rsidRPr="00B90A8E">
        <w:rPr>
          <w:i/>
        </w:rPr>
        <w:t xml:space="preserve">. Oznacza to </w:t>
      </w:r>
      <w:r w:rsidRPr="00B90A8E">
        <w:rPr>
          <w:b/>
          <w:i/>
        </w:rPr>
        <w:t>stosowanie w odniesieniu do tych ustaw takich zasad wykładni, które sprzyjają poszerzaniu, a nie zawężaniu obowiązku informacyjnego</w:t>
      </w:r>
      <w:r w:rsidRPr="00B90A8E">
        <w:rPr>
          <w:i/>
        </w:rPr>
        <w:t xml:space="preserve"> </w:t>
      </w:r>
      <w:r w:rsidRPr="00B90A8E">
        <w:t xml:space="preserve">(tak </w:t>
      </w:r>
      <w:r w:rsidRPr="00B90A8E">
        <w:lastRenderedPageBreak/>
        <w:t xml:space="preserve">również: Wyrok NSA z 1 października 2010r., I OSK 1149/10, Lex Polonica nr 2514371 oraz Wyrok NSA Ośrodek Zamiejscowy we Wrocławiu z dnia 5 grudnia 2002r., II SA/Wr 1600/02 za: </w:t>
      </w:r>
      <w:r w:rsidRPr="00B90A8E">
        <w:rPr>
          <w:i/>
        </w:rPr>
        <w:t>Dostęp do informacji publicznej. Orzecznictwo sądów administracyjnych</w:t>
      </w:r>
      <w:r w:rsidRPr="00B90A8E">
        <w:t xml:space="preserve"> I.Kamińska, M.Rozbicka-Ostrowska, LexisNexis, W-wa 2007, str. 37)</w:t>
      </w:r>
      <w:r w:rsidRPr="00B90A8E">
        <w:rPr>
          <w:i/>
        </w:rPr>
        <w:t>.</w:t>
      </w:r>
    </w:p>
    <w:p w:rsidR="00C81A4C" w:rsidRPr="00B90A8E" w:rsidRDefault="00C81A4C" w:rsidP="00C81A4C">
      <w:pPr>
        <w:pStyle w:val="Default"/>
        <w:spacing w:after="113" w:line="360" w:lineRule="auto"/>
        <w:ind w:firstLine="540"/>
        <w:jc w:val="both"/>
        <w:rPr>
          <w:color w:val="auto"/>
        </w:rPr>
      </w:pPr>
      <w:r w:rsidRPr="00B90A8E">
        <w:t>Analogiczne stanowisko wynika również z wcześniejszych wyroków NSA dotyczących zasad prawa do informacji publicznej m. in.: wyrok z 7 marca 2003 r., sygn. II SA 3572/02, w którym NSA wyraził pogląd, że</w:t>
      </w:r>
      <w:r w:rsidRPr="00B90A8E">
        <w:rPr>
          <w:i/>
        </w:rPr>
        <w:t xml:space="preserve"> prawo do informacji jest zasadą, a  wyjątki od niego powinny być interpretowane ściśle.</w:t>
      </w:r>
      <w:r w:rsidRPr="00B90A8E">
        <w:t xml:space="preserve"> Na uwagę zasługuje również, teza wyroku Wojewódzkiego Sądu Administracyjnego w Warszawie z 12 października 2010 r., sygn. II SA/Wa 933/10</w:t>
      </w:r>
      <w:r w:rsidRPr="00B90A8E">
        <w:rPr>
          <w:i/>
        </w:rPr>
        <w:t xml:space="preserve">, </w:t>
      </w:r>
      <w:r w:rsidRPr="00B90A8E">
        <w:t xml:space="preserve">zgodnie z którą </w:t>
      </w:r>
      <w:r w:rsidRPr="00B90A8E">
        <w:rPr>
          <w:i/>
        </w:rPr>
        <w:t>z treści art. 1 u.d.i.p. jak i art. 61 Konstytucji wynika, że ustawodawca chciał, aby dostęp do informacji był jak najszerszy, dlatego też uwzględniając konstrukcję art. 1 ustawy należy uznać, że zasadą powinno być udostępnianie informacji publicznej(…) Podmiot do którego wpłynął wniosek o udzielenie informacji publicznej powinien przede wszystkim dążyć do tego, aby udzielić informacji</w:t>
      </w:r>
      <w:r w:rsidRPr="00B90A8E">
        <w:t xml:space="preserve">.  Podobnie wypowiedział się tenże Sąd w wyroku z 22 sierpnia 2006 r., sygn. II SAB/Wa 193/05, stwierdzając, że </w:t>
      </w:r>
      <w:r w:rsidRPr="00B90A8E">
        <w:rPr>
          <w:i/>
        </w:rPr>
        <w:t>Przy badaniu przepisu art. 61 Konstytucji prawo dostępu do informacji publicznej, a w szczególności informacji o funkcjonowaniu organów władzy publicznej, stanowi bardzo istotny element realizacji zasady demokratycznego państwa prawnego, dlatego nie jest</w:t>
      </w:r>
      <w:r w:rsidRPr="00B90A8E">
        <w:t xml:space="preserve"> </w:t>
      </w:r>
      <w:r w:rsidRPr="00B90A8E">
        <w:rPr>
          <w:i/>
        </w:rPr>
        <w:t>dopuszczalne traktowanie wyjątków od wspomnianego prawa w sposób dorozumiany lub rozszerzający.</w:t>
      </w:r>
    </w:p>
    <w:p w:rsidR="00C81A4C" w:rsidRPr="00B90A8E" w:rsidRDefault="00C81A4C" w:rsidP="00C81A4C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0A8E">
        <w:rPr>
          <w:rFonts w:ascii="Times New Roman" w:hAnsi="Times New Roman"/>
          <w:bCs/>
          <w:sz w:val="24"/>
          <w:szCs w:val="24"/>
        </w:rPr>
        <w:t>Podobnie NSA w wyroku z 2 lipca 2003 r. sygn. akt II SA 837/03 „</w:t>
      </w:r>
      <w:r w:rsidRPr="00B90A8E">
        <w:rPr>
          <w:rFonts w:ascii="Times New Roman" w:hAnsi="Times New Roman"/>
          <w:bCs/>
          <w:i/>
          <w:sz w:val="24"/>
          <w:szCs w:val="24"/>
        </w:rPr>
        <w:t xml:space="preserve">(…) ogólną zasadą wynikającą z art. 61 Konstytucji RP, jest dostęp do informacji. </w:t>
      </w:r>
      <w:r w:rsidRPr="00B90A8E">
        <w:rPr>
          <w:rFonts w:ascii="Times New Roman" w:hAnsi="Times New Roman"/>
          <w:b/>
          <w:bCs/>
          <w:i/>
          <w:sz w:val="24"/>
          <w:szCs w:val="24"/>
        </w:rPr>
        <w:t>Wszelkie wyjątki od tej zasady winny być formułowane w sposób wyraźny, a wątpliwości win</w:t>
      </w:r>
      <w:r w:rsidR="00E966E8">
        <w:rPr>
          <w:rFonts w:ascii="Times New Roman" w:hAnsi="Times New Roman"/>
          <w:b/>
          <w:bCs/>
          <w:i/>
          <w:sz w:val="24"/>
          <w:szCs w:val="24"/>
        </w:rPr>
        <w:t>ny przemawiać na rzecz dostępu</w:t>
      </w:r>
      <w:r w:rsidRPr="00B90A8E">
        <w:rPr>
          <w:rFonts w:ascii="Times New Roman" w:hAnsi="Times New Roman"/>
          <w:bCs/>
          <w:sz w:val="24"/>
          <w:szCs w:val="24"/>
        </w:rPr>
        <w:t xml:space="preserve">. Ponadto </w:t>
      </w:r>
      <w:r w:rsidRPr="00B90A8E">
        <w:rPr>
          <w:rFonts w:ascii="Times New Roman" w:hAnsi="Times New Roman"/>
          <w:sz w:val="24"/>
          <w:szCs w:val="24"/>
        </w:rPr>
        <w:t xml:space="preserve">Sąd Najwyższy - Izba Administracyjna, Pracy i Ubezpieczeń Społecznych w wyroku z dnia 1 czerwca 2000 r., sygn. akt III RN 64/00 wskazał, iż </w:t>
      </w:r>
      <w:r w:rsidRPr="00B90A8E">
        <w:rPr>
          <w:rFonts w:ascii="Times New Roman" w:hAnsi="Times New Roman"/>
          <w:i/>
          <w:sz w:val="24"/>
          <w:szCs w:val="24"/>
        </w:rPr>
        <w:t xml:space="preserve">Podobnie jak odmowa udzielenia informacji, także odmowa udostępnienia prasie akt urzędowych może nastąpić jedynie ze względu na ochronę tajemnicy państwowej i służbowej oraz innej tajemnicy chronionej ustawą (…) W interesie Rzeczypospolitej Polskiej leży bowiem gwarantowanie prasie jak najszerszego dostępu do informacji, będących w posiadaniu organów i instytucji publicznych, rozumianego jako prawo do uzyskania informacji nie tylko w formie przekazu ustnego, pisemnego czy w innej postaci od zobowiązanego organu, lecz także poprzez wgląd do akt powstałych w rezultacie jego działalności. Natomiast wszelkie ustawowe ograniczenia wolności prasy, </w:t>
      </w:r>
      <w:r w:rsidRPr="00B90A8E">
        <w:rPr>
          <w:rFonts w:ascii="Times New Roman" w:hAnsi="Times New Roman"/>
          <w:b/>
          <w:i/>
          <w:sz w:val="24"/>
          <w:szCs w:val="24"/>
        </w:rPr>
        <w:t>w tym prawa do informacji, nie mogą być interpretowane rozszerzająco, bowiem narusza to także prawo obywateli do rzetelnej informacji i zasadę jawności życia publicznego</w:t>
      </w:r>
      <w:r w:rsidRPr="00B90A8E">
        <w:rPr>
          <w:rFonts w:ascii="Times New Roman" w:hAnsi="Times New Roman"/>
          <w:sz w:val="24"/>
          <w:szCs w:val="24"/>
        </w:rPr>
        <w:t>.</w:t>
      </w:r>
    </w:p>
    <w:p w:rsidR="00C81A4C" w:rsidRPr="00B90A8E" w:rsidRDefault="00C81A4C" w:rsidP="00C81A4C">
      <w:pPr>
        <w:spacing w:line="360" w:lineRule="auto"/>
        <w:ind w:firstLine="708"/>
        <w:jc w:val="both"/>
      </w:pPr>
      <w:r w:rsidRPr="00B90A8E">
        <w:lastRenderedPageBreak/>
        <w:t xml:space="preserve">Jak podnosi doktryna odnośnie ograniczania praw i wolności przede wszystkim należy dbać o zachowanie ich istoty </w:t>
      </w:r>
      <w:r w:rsidRPr="00B90A8E">
        <w:rPr>
          <w:i/>
        </w:rPr>
        <w:t>przy dokonywaniu oceny konieczne jest uwzględnienie tych wszystkich elementów materialnych, które określają istotę „państwa demokratycznego”, bo ograniczenia niepołączalne z aksjologią tego państwa są a limie niedopuszczalne”</w:t>
      </w:r>
      <w:r w:rsidRPr="00B90A8E">
        <w:t xml:space="preserve"> (L. Garlicki Katalog i zakres obowiązywania praw podstawowych – warunki dopuszczalnych ograniczeń i ich wpływ na porządek prawny w: Konstytucja Federalna Szwajcarskiej Konfederacji z 1999 r. i Konstytucja Rzeczypospolitej Polskiej z 1997 r., Białystok 2001, s. 94).</w:t>
      </w:r>
    </w:p>
    <w:p w:rsidR="00C81A4C" w:rsidRPr="00B90A8E" w:rsidRDefault="00C81A4C" w:rsidP="00CF3AA7">
      <w:pPr>
        <w:spacing w:line="360" w:lineRule="auto"/>
        <w:ind w:firstLine="708"/>
        <w:jc w:val="both"/>
      </w:pPr>
      <w:r w:rsidRPr="00B90A8E">
        <w:t xml:space="preserve">Niestety, </w:t>
      </w:r>
      <w:r w:rsidR="00B11D38">
        <w:t>strona przeciwna</w:t>
      </w:r>
      <w:r w:rsidRPr="00B90A8E">
        <w:t xml:space="preserve"> nie wskazał</w:t>
      </w:r>
      <w:r w:rsidR="00B11D38">
        <w:t>a</w:t>
      </w:r>
      <w:r w:rsidRPr="00B90A8E">
        <w:t xml:space="preserve"> choćby części poglądów doktryny i orzecznictwa, w których przeważa pogląd na rzecz jawności w takich wypadkach</w:t>
      </w:r>
      <w:r w:rsidR="00CF3AA7">
        <w:t>, jakich dotyczy</w:t>
      </w:r>
      <w:r w:rsidR="00B11D38">
        <w:t xml:space="preserve"> wniosek</w:t>
      </w:r>
      <w:r w:rsidRPr="00B90A8E">
        <w:t>.</w:t>
      </w:r>
      <w:r w:rsidR="00CF3AA7">
        <w:t xml:space="preserve"> Cytowanie wybiórcze uzasadnienia wyroku </w:t>
      </w:r>
      <w:r w:rsidRPr="00B90A8E">
        <w:t>Sądu Najwyższego z 8 listopada 2012 r., sygn. I CSK 190/12</w:t>
      </w:r>
      <w:r w:rsidR="00CF3AA7">
        <w:t xml:space="preserve"> potwierdza naruszenie zasad ogólnych Kodeku postępowania administracyjnego</w:t>
      </w:r>
      <w:r w:rsidRPr="00B90A8E">
        <w:t>.</w:t>
      </w:r>
    </w:p>
    <w:p w:rsidR="00C81A4C" w:rsidRPr="00B90A8E" w:rsidRDefault="00C81A4C" w:rsidP="00C81A4C">
      <w:pPr>
        <w:spacing w:line="360" w:lineRule="auto"/>
        <w:ind w:firstLine="708"/>
        <w:jc w:val="both"/>
      </w:pPr>
      <w:r w:rsidRPr="00B90A8E">
        <w:t xml:space="preserve">W glosie </w:t>
      </w:r>
      <w:r w:rsidR="00CF3AA7">
        <w:t xml:space="preserve">do tego wyroku </w:t>
      </w:r>
      <w:r w:rsidRPr="00B90A8E">
        <w:t xml:space="preserve">dr Grzegorz Sibiga stwierdził: </w:t>
      </w:r>
      <w:r w:rsidRPr="00B90A8E">
        <w:rPr>
          <w:i/>
        </w:rPr>
        <w:t>Zdaniem SN, podstawowym problemem pozostaje, czy imię i nazwisko, będące w tym przypadku danymi osobowymi, należą do zakresu prywatności osoby fizycznej w rozumieniu art. 5 ust. 2 InfPubDostU. Udzielając odpowiedzi na tak postawione pytanie SN zauważył, że problem ten może być rozstrzygnięty jedynie na tle konkretnych okoliczności danej sprawy. W niniejszej sprawie chodziło o udostępnienie przez gminę imion i nazwisk osób fizycznych, z którymi zawarła umowy zlecenia i umowy o dzieło. Osoby takie musiały liczyć się z tym, że ich personalia nie pozostaną anonimowe. Umowy były bowiem zawierane z podmiotem publicznym, jakim jest gmina. Dla osoby żądającej dostępu do informacji publicznej, związanej z zawieraniem umów cywilnoprawnych przez jednostkę samorządu terytorialnego, imiona i nazwiska stron takich umów są często ważniejsze niż ich treść i jest to z oczywistych względów zrozumiałe. Dlatego też, zdaniem SN, udostępnienie imion i nazwisk osób w rozważanej sytuacji nie stanowi ograniczenia w zakresie korzystania z konstytucyjnych wolności i praw tych osób (art. 31 ust. 3 i art. 61 ust. 3 Konstytucji RP). W konsekwencji, ujawnienie imion i nazwisk osób zawierających umowy cywilnoprawne z jednostką samorządu terytorialnego nie narusza także prawa do prywatności tych osób, o którym mowa w art. 5 ust. 2 InfPubDostU</w:t>
      </w:r>
      <w:r w:rsidRPr="00B90A8E">
        <w:t xml:space="preserve"> (Grzegorz Sibiga, Ujawnienie imion i nazwisk osób zawierających umowy cywilnoprawne z jednostką samorządu terytorialnego, „Monitor Prawniczy” nr 8/2013).</w:t>
      </w:r>
    </w:p>
    <w:p w:rsidR="00076D2A" w:rsidRPr="00076D2A" w:rsidRDefault="00CF3AA7" w:rsidP="00076D2A">
      <w:pPr>
        <w:spacing w:line="360" w:lineRule="auto"/>
        <w:ind w:firstLine="425"/>
        <w:jc w:val="both"/>
        <w:rPr>
          <w:rFonts w:cs="Verdana"/>
          <w:i/>
        </w:rPr>
      </w:pPr>
      <w:r>
        <w:t xml:space="preserve">Identycznie </w:t>
      </w:r>
      <w:r>
        <w:t>Sebastian Gajewski, Aleksander Jakubowski</w:t>
      </w:r>
      <w:r>
        <w:t xml:space="preserve"> w „</w:t>
      </w:r>
      <w:r>
        <w:t xml:space="preserve">Glosa do wyroku SN z dnia 8 </w:t>
      </w:r>
      <w:r>
        <w:t xml:space="preserve">listopada 2012 r., I CSK 190/12”, </w:t>
      </w:r>
      <w:r>
        <w:t>Samorząd Terytorialny  2013/9/84-90</w:t>
      </w:r>
      <w:r>
        <w:t>:</w:t>
      </w:r>
      <w:r w:rsidR="00076D2A">
        <w:t xml:space="preserve"> </w:t>
      </w:r>
      <w:r w:rsidR="00076D2A" w:rsidRPr="00076D2A">
        <w:rPr>
          <w:rFonts w:cs="Verdana"/>
          <w:i/>
        </w:rPr>
        <w:t xml:space="preserve">W kontekście okoliczności omawianej sprawy powyższa konstatacja nabiera szczególnego znaczenia. Jak przyjął bowiem NSA w wyroku z 11.01.2013 r., wysokość wynagrodzenia (przekazanych na nie </w:t>
      </w:r>
      <w:r w:rsidR="00076D2A" w:rsidRPr="00076D2A">
        <w:rPr>
          <w:rFonts w:cs="Verdana"/>
          <w:i/>
        </w:rPr>
        <w:lastRenderedPageBreak/>
        <w:t xml:space="preserve">środków publicznych) pracownika samorządowego, nawet gdy można ją przypisać do konkretnej osoby, mieści się w zakresie dyspozycji art. 33 ust. 1 u.f.p., a zatem – jest jawna i jako taka może zostać udostępniona w trybie przepisów ustawy o dostępie do informacji publicznej. Nie można więc odmówić jej udzielenia z powołaniem się na prywatność osób fizycznych, o której mowa w art. 5 ust. 2 u.d.i.p. Powstaje jednak pytanie, czy pogląd ten – sformułowany przecież w stosunku do osób zatrudnionych przez samorząd gminny – można odnieść do osób fizycznych świadczących usługi na rzecz jednostek samorządu terytorialnego na podstawie umów o dzieło lub umów zlecenia. Wydaje się, że należy udzielić odpowiedzi twierdzącej. Zasada jawności gospodarki środkami publicznymi nie doznaje bowiem wyjątków o charakterze podmiotowym. Jej istota sprowadza się do zagwarantowania pełnego dostępu do informacji o sposobie gospodarowania zasobami publicznymi, bez względu na to, czy trafiają one do pracowników władz publicznych, czy do podmiotów znajdujących się na zewnątrz ich struktury. W okolicznościach niniejszej sprawy konstatacja ta rysuje się szczególnie wyraźnie. Sporne umowy dotyczyły przecież realizacji zadań publicznych, które mogły być również wykonywane przez pracowników samorządowych w ramach ich obowiązków wynikających ze stosunku pracy. Osoby będące ich stroną, choć nie pełniły funkcji publicznej </w:t>
      </w:r>
      <w:r w:rsidR="00076D2A" w:rsidRPr="00076D2A">
        <w:rPr>
          <w:rFonts w:cs="Verdana"/>
          <w:i/>
          <w:iCs/>
        </w:rPr>
        <w:t>sensu stricto</w:t>
      </w:r>
      <w:r w:rsidR="00076D2A" w:rsidRPr="00076D2A">
        <w:rPr>
          <w:rFonts w:cs="Verdana"/>
          <w:i/>
        </w:rPr>
        <w:t>, jednak pozostawały z nią w związku, wykonując zadania publiczne, za co otrzymały środki pochodzące z budżetu gminy. Wspomniane umowy stanowiły więc przejaw prywatyzacji wykonywania zadań samorządu terytorialnego. A biorąc pod uwagę zarówno treść zasady, o której mowa w art. 33 ust. 1 u.f.p., jak i konstytucyjnego prawa do informacji (art. 61 ust. 1 Konstytucji RP), które wyznacza kierunek jej interpretacji, należy przyjąć, że proces ten nie może prowadzić do ograniczania zakresu jawności finansów publicznych.</w:t>
      </w:r>
    </w:p>
    <w:p w:rsidR="00C81A4C" w:rsidRPr="00076D2A" w:rsidRDefault="00076D2A" w:rsidP="00076D2A">
      <w:pPr>
        <w:spacing w:line="360" w:lineRule="auto"/>
        <w:ind w:firstLine="708"/>
        <w:jc w:val="both"/>
        <w:rPr>
          <w:rFonts w:cs="Verdana"/>
          <w:i/>
        </w:rPr>
      </w:pPr>
      <w:r w:rsidRPr="00076D2A">
        <w:rPr>
          <w:rFonts w:cs="Verdana"/>
          <w:i/>
        </w:rPr>
        <w:t>W tym kontekście należy podkreślić funkcję, jaką pełni w demokratycznym państwie prawnym prawo dostępu do informacji. Służy ono zabezpieczeniu fundamentalnej zasady udziału obywateli w życiu publicznym. Uprawnienie to stanowi bowiem skuteczny mechanizm kontroli społecznej podmiotów sprawujących władzę publiczną</w:t>
      </w:r>
      <w:r w:rsidRPr="00076D2A">
        <w:rPr>
          <w:rFonts w:cs="Verdana"/>
          <w:i/>
          <w:vertAlign w:val="superscript"/>
        </w:rPr>
        <w:t>18</w:t>
      </w:r>
      <w:r w:rsidRPr="00076D2A">
        <w:rPr>
          <w:rFonts w:cs="Verdana"/>
          <w:i/>
        </w:rPr>
        <w:t xml:space="preserve">. Związek między ustawowo gwarantowaną możliwością uzyskania informacji o sprawach publicznych a wspomnianą zasadą wyraża się w stworzeniu obywatelowi warunków dokonywania w pełni świadomej i racjonalnej oceny działalności władz, a w konsekwencji – korzystania z konstytucyjnego prawa do udziału w wyborach i referendach (art. 62 Konstytucji RP). Szczególne znaczenie w tym kontekście przypisuje się właśnie jawności finansów publicznych. Odnosząc te rozważania do prawnych uwarunkowań demokracji lokalnej, chodzi o to, by każdy członek wspólnoty samorządowej mógł uzyskać pełną wiedzę dotyczącą podmiotów, którym są przekazywane środki publiczne z budżetu gminy. Tylko takie rozwiązanie umożliwi mu dokonanie realnej oceny </w:t>
      </w:r>
      <w:r w:rsidRPr="00076D2A">
        <w:rPr>
          <w:rFonts w:cs="Verdana"/>
          <w:i/>
        </w:rPr>
        <w:lastRenderedPageBreak/>
        <w:t>reprezentujących go radnych oraz wybieranego w gminie w wyborach bezpośrednich organu wykonawczego. Pozwala ono choćby zweryfikować – jak w stanie faktycznym glosowanego orzeczenia – czy dobór kontrahentów do zawarcia umowy przez samorząd gminny był merytoryczny, a nie np. opierał się na kryteriach osobistych lub politycznych (nepotyzm).</w:t>
      </w:r>
      <w:r>
        <w:rPr>
          <w:rFonts w:cs="Verdana"/>
          <w:i/>
        </w:rPr>
        <w:t xml:space="preserve"> (…) </w:t>
      </w:r>
      <w:r w:rsidRPr="00076D2A">
        <w:rPr>
          <w:rFonts w:cs="Verdana"/>
          <w:i/>
        </w:rPr>
        <w:t>Należy podkreślić, że ujawnienie danych o imionach i nazwiskach kontrahentów władzy publicznej – dopuszczone w orzeczeniu SN – całkowicie spełnia wymogi określone przez TK w ww. wyroku z 2006 r., jakie postawił dla konstytucyjności udostępnienia informacji publicznych dotykających kwestii prywatnych jednostek. Informacje o kontrahentach władzy publicznej nie wychodzą bowiem poza niezbędność określoną potrzebą transparentności życia publicznego, ocenianą zgodnie ze standardami przyjętymi w demokratycznym państwie, jak również są to informacje mające znaczenie dla oceny funkcjonowania instytucji oraz osób pełniących funkcje publiczne. Wreszcie, nie są to informacje – co do swej natury i zakresu – przekreślające sens (istotę) ochrony prawa do życia prywatnego. Nie dochodzi zarazem do narusz</w:t>
      </w:r>
      <w:r>
        <w:rPr>
          <w:rFonts w:cs="Verdana"/>
          <w:i/>
        </w:rPr>
        <w:t xml:space="preserve">enia prywatności osób trzecich. </w:t>
      </w:r>
      <w:r w:rsidRPr="00076D2A">
        <w:rPr>
          <w:rFonts w:cs="Verdana"/>
          <w:i/>
        </w:rPr>
        <w:t>Sąd Najwyższy w swojej argumentacji poruszył także kwestię postrzegania imion i nazwisk kontrahentów jako informacji objętych normami usta</w:t>
      </w:r>
      <w:r>
        <w:rPr>
          <w:rFonts w:cs="Verdana"/>
          <w:i/>
        </w:rPr>
        <w:t>wy o ochronie danych osobowych</w:t>
      </w:r>
      <w:r w:rsidRPr="00076D2A">
        <w:rPr>
          <w:rFonts w:cs="Verdana"/>
          <w:i/>
        </w:rPr>
        <w:t>. W doktrynie zwracano uwagę, że pojęcia prywatności i ochrony danych osobowych są na gruncie ustawy o dostępie do informacji p</w:t>
      </w:r>
      <w:r>
        <w:rPr>
          <w:rFonts w:cs="Verdana"/>
          <w:i/>
        </w:rPr>
        <w:t>ublicznej od siebie niezależne</w:t>
      </w:r>
      <w:r w:rsidRPr="00076D2A">
        <w:rPr>
          <w:rFonts w:cs="Verdana"/>
          <w:i/>
        </w:rPr>
        <w:t>. Z tego względu fakt niewystępowania w informacji danych określonych w art. 5 ust. 2 u.d.i.p. nie uzasadnia automatycznie legalizacji przetworzenia jej w trybie ustawy o ochronie danych osobowych34. Udostępnienie omawianych w wyroku informacji znajduje jednak pełne oparcie także w ustawie o ochronie danych osobowych. Spełnia ono bowiem przesłanki przetwarzania danych osobowych określone w art</w:t>
      </w:r>
      <w:r>
        <w:rPr>
          <w:rFonts w:cs="Verdana"/>
          <w:i/>
        </w:rPr>
        <w:t>. 23 ust. 1 pkt 2 i 4 u.o.d.o.</w:t>
      </w:r>
      <w:r w:rsidRPr="00076D2A">
        <w:rPr>
          <w:rFonts w:cs="Verdana"/>
          <w:i/>
        </w:rPr>
        <w:t>, gdyż jest niezbędne dla zrealizowania uprawnienia i spełnienia obowiązku wynikającego z przepisu prawa, tj. prawa do informacji i jawności wywodzonego z art. 61 ust. 1 Konstytucji RP, a konkretyzowanego w ustawie o dostępie do informacji publicznej, ustawie o samorządzie gminnym i u</w:t>
      </w:r>
      <w:r>
        <w:rPr>
          <w:rFonts w:cs="Verdana"/>
          <w:i/>
        </w:rPr>
        <w:t>stawie o finansach publicznych</w:t>
      </w:r>
      <w:r w:rsidRPr="00076D2A">
        <w:rPr>
          <w:rFonts w:cs="Verdana"/>
          <w:i/>
        </w:rPr>
        <w:t>. Ponadto jest ono nieodzowne do wykonania określonych w tych przepisach zadań realizowanych dla dobra publicznego, do którego niewątpliwie należy zaliczyć transparentność i jawność działania władzy. Nie występują zarazem okoliczności wyłączające możliwość przetwarzania danych, wskazane w art. 27 ust. 1 u.o.d.o.</w:t>
      </w:r>
    </w:p>
    <w:p w:rsidR="00CF3AA7" w:rsidRDefault="00076D2A" w:rsidP="00CF3AA7">
      <w:pPr>
        <w:spacing w:line="360" w:lineRule="auto"/>
        <w:ind w:firstLine="708"/>
        <w:jc w:val="both"/>
      </w:pPr>
      <w:r>
        <w:t>Skarżący popiera pogląd zawarte w obu glosach, których autorzy szczegółowo zapoznali się z wyrokiem Sądu Najwyższego.</w:t>
      </w:r>
    </w:p>
    <w:p w:rsidR="00C81A4C" w:rsidRPr="00B90A8E" w:rsidRDefault="00C81A4C" w:rsidP="00C81A4C">
      <w:pPr>
        <w:spacing w:line="360" w:lineRule="auto"/>
        <w:ind w:firstLine="708"/>
        <w:jc w:val="both"/>
      </w:pPr>
      <w:r w:rsidRPr="00B90A8E">
        <w:t xml:space="preserve">Identycznie w doktrynie rozumiany jest standard demokracji wprowadzony w art. 61 Konstytucji – tak m. in: prof. dr hab. Bogusław Banaszak w komentarzu do art. 61 Konstytucji1 </w:t>
      </w:r>
      <w:r w:rsidRPr="00B90A8E">
        <w:rPr>
          <w:i/>
        </w:rPr>
        <w:t xml:space="preserve">W drugiej połowie XX w. nastąpiło odejście w zdecydowanej większości państw </w:t>
      </w:r>
      <w:r w:rsidRPr="00B90A8E">
        <w:rPr>
          <w:i/>
        </w:rPr>
        <w:lastRenderedPageBreak/>
        <w:t>demokratycznych od traktowania działania organów władz publicznych jako realizacji suwerenności państwa i wykonywania imperium państwowego w taki sposób, że jedynie niektóre działania, a zwłaszcza ich efekty (np. normy prawne, akty stosowania prawa) były jawne. Utrzymywanie w tajemnicy wielu przejawów aktywności organów władz publicznych i ich piastunów zapewnić miało w przeszłości większą skuteczność ich działania. Współcześnie ważnym elementem rzetelności działania organów państwa demokratycznego jest zapewnienie obywatelom prawa do uzyskiwania informacji o działalności organów władzy publicznej łączącego się z powszechnie aprobowaną w państwach demokratycznych zasadą otwartego rządu (open government) oznaczającą otwartość - tzn. jawność (transparentność - transparency) działalności wszystkich organów władz publicznych. Cel ten starają się zrealizować ustawodawcy lub ustrojodawcy w wielu państwach. Jest on także uznawany za konieczny przez instytucje międzynarodowe. Tytułem przykładu można wskazać na rezolucję 2005/68 Komisji Praw Człowieka ONZ, w której podkreśla się, że "transparentny, odpowiedzialny, rozliczany i partycypacyjny system władz publicznych (...) stanowi fundament, na którym spoczywa dobre rządzenie, a fundament ten stanowi konieczny warunek pełnego urzeczywistnienia praw człowieka (...)". Warto też dodać, że Rada Europy w projekcie Rekomendacji o Dobrej Administracji z 2004 r. do jednych z zasad naczelnych funkcjonowania administracji publicznej zaliczyła jej jawność</w:t>
      </w:r>
      <w:r w:rsidRPr="00B90A8E">
        <w:t xml:space="preserve"> (Bogusław Banaszak, Konstytucja Rzeczypospolitej Polskiej. Komentarz, wyd. 1, C.H.Beck, Warszawa 2009).</w:t>
      </w:r>
    </w:p>
    <w:p w:rsidR="00C81A4C" w:rsidRPr="00B90A8E" w:rsidRDefault="00C81A4C" w:rsidP="00076D2A">
      <w:pPr>
        <w:spacing w:line="360" w:lineRule="auto"/>
        <w:ind w:firstLine="540"/>
        <w:jc w:val="both"/>
      </w:pPr>
      <w:r w:rsidRPr="00B90A8E">
        <w:t xml:space="preserve">Na aspekt doniosłości jawności funkcjonowania władz publicznych zwraca uwagę dr Grzegorz Wierczyński podnosząc: </w:t>
      </w:r>
      <w:r w:rsidRPr="00B90A8E">
        <w:rPr>
          <w:i/>
        </w:rPr>
        <w:t xml:space="preserve">J. Jabłońska-Bońca i M. Zieliński podkreślili też, że jawność wiąże się z podmiotowym traktowaniem obywatela w jego relacji z państwem oraz warunkuje udział obywateli w rządzeniu. Powołali oni pogląd K. Grzybowskiego, zgodnie z którym demokracja to rządy ludu, a suweren może w rzeczywistości rządzić, jeżeli jest poinformowany, wie, zna fakty, na których może oprzeć swoją decyzję. (str. 27) (…) W państwie demokratycznym jego obywatele są zbiorowym suwerenem, co oznacza między innymi, że powinni mieć zapewniony rzeczywisty wpływ na sprawowaną w tym państwie władzę, a władza ta ma obowiązek szanować ich prawa i wolności. Możliwość wywierania wpływu na organy władzy jest realna jedynie wtedy, gdy obywatele posiadają dostęp do wiedzy na temat poczynań tych organów. Do tak ujmowanej zasady nawiązuje zasada suwerenności i reprezentacji (wyrażone w art. 61 Konstytucji), a także inne zasady gwarantujące udział obywateli w życiu publicznym, w tym prawo dostępu do informacji publicznej wyrażone w art. 61 Konstytucji RP oraz odpowiadająca mu zasada jawności życia publicznego. Bez prawa do informacji publicznych obywatele pełniliby swoją władzę w sposób jedynie iluzoryczny. Nie byliby też w stanie </w:t>
      </w:r>
      <w:r w:rsidRPr="00B90A8E">
        <w:rPr>
          <w:i/>
        </w:rPr>
        <w:lastRenderedPageBreak/>
        <w:t>kontrolować wybranych przez nich reprezentantów. Jawność informacji publicznych, w tym informacji o prawie, jest zatem jednym z elementów gwarantujących urzeczywistnienie prawa do uczestnictwa w kierowaniu sprawami publicznymi, które należy do powszechnie uznawanych obecnie praw człowieka (prawa i wolności polityczne). Prawo to, nazwane też prawem do uczestnictwa w rządzeniu, jest formułowane między innymi w Powszechnej Deklaracji Praw Człowieka, Międzynarodowym Pakcie Praw Obywatelskich i Politycznych oraz Europejskiej Karcie Samorządu Terytorialnego</w:t>
      </w:r>
      <w:r w:rsidRPr="00B90A8E">
        <w:t xml:space="preserve"> (Grzegorz Wierczyński, Urzędowe ogłoszenie aktu normatywnego, Wolters Kluwer Polska, Warszawa 2008).</w:t>
      </w:r>
    </w:p>
    <w:p w:rsidR="00C81A4C" w:rsidRDefault="00C81A4C" w:rsidP="00B11D38">
      <w:pPr>
        <w:spacing w:line="360" w:lineRule="auto"/>
        <w:ind w:firstLine="540"/>
        <w:jc w:val="both"/>
      </w:pPr>
      <w:r w:rsidRPr="00B90A8E">
        <w:t xml:space="preserve">Dr hab. Dariusz Adamski tak się wypowiedział odnośnie celów przejrzystości: </w:t>
      </w:r>
      <w:r w:rsidRPr="00B90A8E">
        <w:rPr>
          <w:i/>
        </w:rPr>
        <w:t>Curtin wskazuje na to, że bez skutecznych i otwartych procesów decyzyjnych odpowiedzialność polityczna, kontrola polityczna i prawdziwa realizacja politycznych praw i obowiązków są wszystkie ograniczone lub osłabione. (str. 9) Trafnie zatem Lenaerts wskazuje na „pojawienie się społeczeństwa obywatelskiego i organizacji pozarządowych będących nowym potężnym mechanizmem kontroli zachowania rządu” jako jedną z dwóch podstawowych przyczyn zwiększania przejrzystości procesów decyzyjnych zarówno na szczeblu krajowym, jak i wspólnotowym. Z tego samego powodu bardziej niż kiedykolwiek wcześniej aktualne stają się słowa jednego z największych brytyjskich myślicieli – Jeremy’ego Benthama: „oko społeczeństwa czyni męża stanu cnotliwym”</w:t>
      </w:r>
      <w:r w:rsidRPr="00B90A8E">
        <w:t xml:space="preserve"> (Dariusz Adamski, Prawo do informacji o działaniach władz publicznych Unii Europejskiej, C.H.Beck, Warszawa 2011).</w:t>
      </w:r>
    </w:p>
    <w:p w:rsidR="00B11D38" w:rsidRDefault="00B11D38" w:rsidP="00B11D38">
      <w:pPr>
        <w:spacing w:line="360" w:lineRule="auto"/>
        <w:ind w:firstLine="540"/>
        <w:jc w:val="both"/>
      </w:pPr>
      <w:r>
        <w:t xml:space="preserve">Zwróci należy uwagę, iż </w:t>
      </w:r>
      <w:r w:rsidR="00076D2A">
        <w:t>Prezydent Szczecina</w:t>
      </w:r>
      <w:r>
        <w:t xml:space="preserve"> jest raczej odosobnionym przypadkiem wyłączania jawności w zakresie imion i nazwisk w umowach. Naczelny Sąd Administracyjny udostępnił umowy c</w:t>
      </w:r>
      <w:r w:rsidR="00076D2A">
        <w:t>ywilne z imionami i nazwiskami.</w:t>
      </w:r>
    </w:p>
    <w:p w:rsidR="00076D2A" w:rsidRDefault="00076D2A" w:rsidP="00B11D38">
      <w:pPr>
        <w:spacing w:line="360" w:lineRule="auto"/>
        <w:jc w:val="both"/>
        <w:rPr>
          <w:b/>
        </w:rPr>
      </w:pPr>
    </w:p>
    <w:p w:rsidR="00B11D38" w:rsidRDefault="00B11D38" w:rsidP="00B11D38">
      <w:pPr>
        <w:spacing w:line="360" w:lineRule="auto"/>
        <w:jc w:val="both"/>
      </w:pPr>
      <w:r w:rsidRPr="00BC6381">
        <w:rPr>
          <w:b/>
        </w:rPr>
        <w:t>Dowód:</w:t>
      </w:r>
      <w:r>
        <w:t xml:space="preserve"> kopia jednej z umów.</w:t>
      </w:r>
    </w:p>
    <w:p w:rsidR="00B11D38" w:rsidRDefault="00B11D38" w:rsidP="00B11D38">
      <w:pPr>
        <w:spacing w:line="360" w:lineRule="auto"/>
        <w:ind w:firstLine="540"/>
        <w:jc w:val="both"/>
      </w:pPr>
    </w:p>
    <w:p w:rsidR="00076D2A" w:rsidRDefault="00076D2A" w:rsidP="00B11D38">
      <w:pPr>
        <w:spacing w:line="360" w:lineRule="auto"/>
        <w:ind w:firstLine="540"/>
        <w:jc w:val="both"/>
      </w:pPr>
      <w:r>
        <w:t xml:space="preserve">Również takie informacje udostępnia Generalny Inspektor Ochrony Danych Osobowych, które </w:t>
      </w:r>
      <w:r w:rsidR="00E02811">
        <w:t>nie wyłącza jawności imion i nazwisk stron nawet jak nie jest to związane z ponoszeniem kosztów ze środków publicznych. W przypadku Generalnego Inspektora Danych Osobowych należy wskazać, iż nie zakwestionował żadnego z istniejących rejestrów umów, które zawierają imiona i nazwiska.</w:t>
      </w:r>
    </w:p>
    <w:p w:rsidR="00E02811" w:rsidRDefault="00E02811" w:rsidP="00E02811">
      <w:pPr>
        <w:spacing w:line="360" w:lineRule="auto"/>
        <w:jc w:val="both"/>
      </w:pPr>
    </w:p>
    <w:p w:rsidR="00E02811" w:rsidRDefault="00E02811" w:rsidP="00E02811">
      <w:pPr>
        <w:spacing w:line="360" w:lineRule="auto"/>
        <w:jc w:val="both"/>
      </w:pPr>
      <w:r w:rsidRPr="00E02811">
        <w:rPr>
          <w:b/>
        </w:rPr>
        <w:t>Dowód:</w:t>
      </w:r>
      <w:r>
        <w:t xml:space="preserve"> zestawienie umów zawartych przez Generalnego Inspektora Ochrony Danych Osobowych.</w:t>
      </w:r>
    </w:p>
    <w:p w:rsidR="00076D2A" w:rsidRDefault="00076D2A" w:rsidP="00B11D38">
      <w:pPr>
        <w:spacing w:line="360" w:lineRule="auto"/>
        <w:ind w:firstLine="540"/>
        <w:jc w:val="both"/>
      </w:pPr>
    </w:p>
    <w:p w:rsidR="00E02811" w:rsidRDefault="00E02811" w:rsidP="00B11D38">
      <w:pPr>
        <w:spacing w:line="360" w:lineRule="auto"/>
        <w:ind w:firstLine="540"/>
        <w:jc w:val="both"/>
      </w:pPr>
      <w:r>
        <w:lastRenderedPageBreak/>
        <w:t>Do grona instytucji, które nie mają problemu z udostępnianiem takich informacji zaliczyć należy również Rzecznika Praw Obywatelskich.</w:t>
      </w:r>
    </w:p>
    <w:p w:rsidR="00E02811" w:rsidRDefault="00E02811" w:rsidP="00B11D38">
      <w:pPr>
        <w:spacing w:line="360" w:lineRule="auto"/>
        <w:ind w:firstLine="540"/>
        <w:jc w:val="both"/>
      </w:pPr>
    </w:p>
    <w:p w:rsidR="00E02811" w:rsidRDefault="00E02811" w:rsidP="00E02811">
      <w:pPr>
        <w:spacing w:line="360" w:lineRule="auto"/>
        <w:jc w:val="both"/>
      </w:pPr>
      <w:r w:rsidRPr="00E02811">
        <w:rPr>
          <w:b/>
        </w:rPr>
        <w:t>Dowód:</w:t>
      </w:r>
      <w:r>
        <w:t xml:space="preserve"> umowy udostępnione przez Rzecznika Praw Obywatelskich.</w:t>
      </w:r>
    </w:p>
    <w:p w:rsidR="00E02811" w:rsidRDefault="00E02811" w:rsidP="00E02811">
      <w:pPr>
        <w:spacing w:line="360" w:lineRule="auto"/>
        <w:jc w:val="both"/>
      </w:pPr>
    </w:p>
    <w:p w:rsidR="00E02811" w:rsidRDefault="00E02811" w:rsidP="00E02811">
      <w:pPr>
        <w:spacing w:line="360" w:lineRule="auto"/>
        <w:jc w:val="both"/>
      </w:pPr>
      <w:r>
        <w:tab/>
        <w:t>Również pełny rejestr udostępnia Minister Sprawiedliwości.</w:t>
      </w:r>
    </w:p>
    <w:p w:rsidR="00E02811" w:rsidRDefault="00E02811" w:rsidP="00E02811">
      <w:pPr>
        <w:spacing w:line="360" w:lineRule="auto"/>
        <w:jc w:val="both"/>
      </w:pPr>
    </w:p>
    <w:p w:rsidR="00E02811" w:rsidRDefault="00E02811" w:rsidP="00E02811">
      <w:pPr>
        <w:spacing w:line="360" w:lineRule="auto"/>
        <w:jc w:val="both"/>
      </w:pPr>
      <w:r w:rsidRPr="00E02811">
        <w:rPr>
          <w:b/>
        </w:rPr>
        <w:t>Dowód:</w:t>
      </w:r>
      <w:r>
        <w:t xml:space="preserve"> rejestr Ministra Sprawiedliwości zawierający imiona i nazwiska stron umów.</w:t>
      </w:r>
    </w:p>
    <w:p w:rsidR="00E02811" w:rsidRDefault="00E02811" w:rsidP="00E02811">
      <w:pPr>
        <w:spacing w:line="360" w:lineRule="auto"/>
        <w:jc w:val="both"/>
      </w:pPr>
    </w:p>
    <w:p w:rsidR="00E02811" w:rsidRDefault="00E02811" w:rsidP="00E02811">
      <w:pPr>
        <w:spacing w:line="360" w:lineRule="auto"/>
        <w:jc w:val="both"/>
      </w:pPr>
      <w:r>
        <w:tab/>
        <w:t xml:space="preserve">Przykładów takich można podawać bez końca. Przepisy związane z prawem do prywatności w tym przypadku nie stanowią podstawy do wyłączenia tych informacji. W zasadzie z wiedzy jaką posiada skarżący, o stosowania praw do informacji publicznej w zakresie udostępniania informacji o stronach umów, stanowisko prezentowane przez Prezydenta Szczecina jest anachroniczne. </w:t>
      </w:r>
    </w:p>
    <w:p w:rsidR="00E02811" w:rsidRDefault="00E02811" w:rsidP="00E02811">
      <w:pPr>
        <w:spacing w:line="360" w:lineRule="auto"/>
        <w:jc w:val="both"/>
      </w:pPr>
    </w:p>
    <w:p w:rsidR="00E02811" w:rsidRDefault="00E02811" w:rsidP="00E02811">
      <w:pPr>
        <w:spacing w:line="360" w:lineRule="auto"/>
        <w:jc w:val="both"/>
      </w:pPr>
      <w:r>
        <w:tab/>
        <w:t xml:space="preserve">Z tych względów odwołanie jest uzasadnione i konieczne. </w:t>
      </w:r>
    </w:p>
    <w:sectPr w:rsidR="00E0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CC" w:rsidRDefault="00C77BCC" w:rsidP="00B11D38">
      <w:r>
        <w:separator/>
      </w:r>
    </w:p>
  </w:endnote>
  <w:endnote w:type="continuationSeparator" w:id="0">
    <w:p w:rsidR="00C77BCC" w:rsidRDefault="00C77BCC" w:rsidP="00B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5C" w:rsidRDefault="00816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952382"/>
      <w:docPartObj>
        <w:docPartGallery w:val="Page Numbers (Bottom of Page)"/>
        <w:docPartUnique/>
      </w:docPartObj>
    </w:sdtPr>
    <w:sdtEndPr/>
    <w:sdtContent>
      <w:p w:rsidR="00631675" w:rsidRDefault="00631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ED">
          <w:rPr>
            <w:noProof/>
          </w:rPr>
          <w:t>1</w:t>
        </w:r>
        <w:r>
          <w:fldChar w:fldCharType="end"/>
        </w:r>
      </w:p>
    </w:sdtContent>
  </w:sdt>
  <w:p w:rsidR="00631675" w:rsidRDefault="00631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5C" w:rsidRDefault="00816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CC" w:rsidRDefault="00C77BCC" w:rsidP="00B11D38">
      <w:r>
        <w:separator/>
      </w:r>
    </w:p>
  </w:footnote>
  <w:footnote w:type="continuationSeparator" w:id="0">
    <w:p w:rsidR="00C77BCC" w:rsidRDefault="00C77BCC" w:rsidP="00B1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5C" w:rsidRDefault="00816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5C" w:rsidRDefault="00816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5C" w:rsidRDefault="00816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27"/>
        </w:tabs>
        <w:ind w:left="227" w:hanging="227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48B3036"/>
    <w:multiLevelType w:val="hybridMultilevel"/>
    <w:tmpl w:val="7D68A3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0F3CD8"/>
    <w:multiLevelType w:val="hybridMultilevel"/>
    <w:tmpl w:val="EF18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4C"/>
    <w:rsid w:val="000339BE"/>
    <w:rsid w:val="00076D2A"/>
    <w:rsid w:val="000B5635"/>
    <w:rsid w:val="000C7F86"/>
    <w:rsid w:val="001A5467"/>
    <w:rsid w:val="001E0DC1"/>
    <w:rsid w:val="001E4B57"/>
    <w:rsid w:val="00204354"/>
    <w:rsid w:val="00210F28"/>
    <w:rsid w:val="002F3291"/>
    <w:rsid w:val="00345D7E"/>
    <w:rsid w:val="00420448"/>
    <w:rsid w:val="004C261D"/>
    <w:rsid w:val="005131C7"/>
    <w:rsid w:val="005C59E0"/>
    <w:rsid w:val="00603CCF"/>
    <w:rsid w:val="00631675"/>
    <w:rsid w:val="006451F6"/>
    <w:rsid w:val="00693D4D"/>
    <w:rsid w:val="006F3251"/>
    <w:rsid w:val="007000F5"/>
    <w:rsid w:val="00722298"/>
    <w:rsid w:val="00733437"/>
    <w:rsid w:val="00734C25"/>
    <w:rsid w:val="007833EE"/>
    <w:rsid w:val="007A5260"/>
    <w:rsid w:val="007E0A3E"/>
    <w:rsid w:val="007E68D7"/>
    <w:rsid w:val="00803A73"/>
    <w:rsid w:val="008117BF"/>
    <w:rsid w:val="00816C5C"/>
    <w:rsid w:val="008301B2"/>
    <w:rsid w:val="00876394"/>
    <w:rsid w:val="00974CED"/>
    <w:rsid w:val="00A1442C"/>
    <w:rsid w:val="00A208A9"/>
    <w:rsid w:val="00A56FE0"/>
    <w:rsid w:val="00A90A82"/>
    <w:rsid w:val="00AF54BA"/>
    <w:rsid w:val="00B10CC0"/>
    <w:rsid w:val="00B11D38"/>
    <w:rsid w:val="00B968D7"/>
    <w:rsid w:val="00BC6381"/>
    <w:rsid w:val="00BC7E16"/>
    <w:rsid w:val="00BD09C0"/>
    <w:rsid w:val="00BF62D6"/>
    <w:rsid w:val="00C02251"/>
    <w:rsid w:val="00C358D1"/>
    <w:rsid w:val="00C77BCC"/>
    <w:rsid w:val="00C81A4C"/>
    <w:rsid w:val="00CB1516"/>
    <w:rsid w:val="00CF3AA7"/>
    <w:rsid w:val="00CF7442"/>
    <w:rsid w:val="00D0738C"/>
    <w:rsid w:val="00D153C4"/>
    <w:rsid w:val="00D82D41"/>
    <w:rsid w:val="00DE1879"/>
    <w:rsid w:val="00E02811"/>
    <w:rsid w:val="00E05DA9"/>
    <w:rsid w:val="00E5631C"/>
    <w:rsid w:val="00E966E8"/>
    <w:rsid w:val="00F12B8E"/>
    <w:rsid w:val="00F40D71"/>
    <w:rsid w:val="00F80F28"/>
    <w:rsid w:val="00FA20E3"/>
    <w:rsid w:val="00FA66C2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ED376-8F6C-4084-A125-C260BA6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81A4C"/>
    <w:rPr>
      <w:b/>
      <w:bCs/>
    </w:rPr>
  </w:style>
  <w:style w:type="character" w:styleId="Uwydatnienie">
    <w:name w:val="Emphasis"/>
    <w:qFormat/>
    <w:rsid w:val="00C81A4C"/>
    <w:rPr>
      <w:i/>
      <w:iCs/>
    </w:rPr>
  </w:style>
  <w:style w:type="paragraph" w:styleId="Tekstpodstawowy">
    <w:name w:val="Body Text"/>
    <w:basedOn w:val="Normalny"/>
    <w:link w:val="TekstpodstawowyZnak"/>
    <w:rsid w:val="00C81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1A4C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C81A4C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C81A4C"/>
    <w:pPr>
      <w:suppressLineNumbers/>
    </w:pPr>
  </w:style>
  <w:style w:type="paragraph" w:styleId="NormalnyWeb">
    <w:name w:val="Normal (Web)"/>
    <w:basedOn w:val="Normalny"/>
    <w:rsid w:val="00C81A4C"/>
    <w:pPr>
      <w:spacing w:before="100" w:after="100"/>
    </w:pPr>
  </w:style>
  <w:style w:type="paragraph" w:styleId="Bezodstpw">
    <w:name w:val="No Spacing"/>
    <w:uiPriority w:val="1"/>
    <w:qFormat/>
    <w:rsid w:val="00C81A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1A4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basedOn w:val="Domylnaczcionkaakapitu"/>
    <w:uiPriority w:val="21"/>
    <w:qFormat/>
    <w:rsid w:val="00C81A4C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11D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1D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11D3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1D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1D3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D3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D38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D3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76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3906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Sieć Obywatelska - Watchdog Polska</dc:creator>
  <cp:keywords/>
  <dc:description>Przekaż nam 1% podatku</dc:description>
  <cp:lastModifiedBy>Szymon Osowski</cp:lastModifiedBy>
  <cp:revision>2</cp:revision>
  <cp:lastPrinted>2014-05-07T19:56:00Z</cp:lastPrinted>
  <dcterms:created xsi:type="dcterms:W3CDTF">2014-05-07T19:56:00Z</dcterms:created>
  <dcterms:modified xsi:type="dcterms:W3CDTF">2014-05-07T19:56:00Z</dcterms:modified>
</cp:coreProperties>
</file>